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67C5" w14:textId="0B63E693" w:rsidR="004A48D0" w:rsidRDefault="009034DE" w:rsidP="009034DE">
      <w:pPr>
        <w:pStyle w:val="Title"/>
        <w:jc w:val="center"/>
        <w:rPr>
          <w:sz w:val="52"/>
          <w:szCs w:val="52"/>
        </w:rPr>
      </w:pPr>
      <w:r w:rsidRPr="009034DE">
        <w:rPr>
          <w:sz w:val="52"/>
          <w:szCs w:val="52"/>
        </w:rPr>
        <w:t>Ambulatory Medication Management in the Perioperative Period</w:t>
      </w:r>
    </w:p>
    <w:p w14:paraId="129139E5" w14:textId="6866CB46" w:rsidR="009034DE" w:rsidRDefault="009034DE" w:rsidP="00903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425"/>
        <w:gridCol w:w="3600"/>
        <w:gridCol w:w="2250"/>
        <w:gridCol w:w="3145"/>
      </w:tblGrid>
      <w:tr w:rsidR="00327060" w:rsidRPr="00725F05" w14:paraId="020B675B" w14:textId="1E88F6F7" w:rsidTr="00327060">
        <w:tc>
          <w:tcPr>
            <w:tcW w:w="1530" w:type="dxa"/>
          </w:tcPr>
          <w:p w14:paraId="1FA948CC" w14:textId="77777777" w:rsidR="009034DE" w:rsidRPr="00725F05" w:rsidRDefault="009034DE" w:rsidP="009034DE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3523BF01" w14:textId="443AD279" w:rsidR="009034DE" w:rsidRPr="00725F05" w:rsidRDefault="009034DE" w:rsidP="009034DE">
            <w:pPr>
              <w:rPr>
                <w:rFonts w:cstheme="minorHAnsi"/>
              </w:rPr>
            </w:pPr>
            <w:r w:rsidRPr="00725F05">
              <w:rPr>
                <w:rFonts w:cstheme="minorHAnsi"/>
              </w:rPr>
              <w:t>Medication/Medication Class</w:t>
            </w:r>
          </w:p>
        </w:tc>
        <w:tc>
          <w:tcPr>
            <w:tcW w:w="3600" w:type="dxa"/>
          </w:tcPr>
          <w:p w14:paraId="3763592A" w14:textId="3988B9FD" w:rsidR="009034DE" w:rsidRPr="00725F05" w:rsidRDefault="009034DE" w:rsidP="009034DE">
            <w:pPr>
              <w:rPr>
                <w:rFonts w:cstheme="minorHAnsi"/>
              </w:rPr>
            </w:pPr>
            <w:r w:rsidRPr="00725F05">
              <w:rPr>
                <w:rFonts w:cstheme="minorHAnsi"/>
              </w:rPr>
              <w:t>Pre-surgery Management</w:t>
            </w:r>
          </w:p>
        </w:tc>
        <w:tc>
          <w:tcPr>
            <w:tcW w:w="2250" w:type="dxa"/>
          </w:tcPr>
          <w:p w14:paraId="796064E4" w14:textId="2DB56B22" w:rsidR="009034DE" w:rsidRPr="00725F05" w:rsidRDefault="009034DE" w:rsidP="009034DE">
            <w:pPr>
              <w:rPr>
                <w:rFonts w:cstheme="minorHAnsi"/>
              </w:rPr>
            </w:pPr>
            <w:r w:rsidRPr="00725F05">
              <w:rPr>
                <w:rFonts w:cstheme="minorHAnsi"/>
              </w:rPr>
              <w:t>Post-surgery Management</w:t>
            </w:r>
          </w:p>
        </w:tc>
        <w:tc>
          <w:tcPr>
            <w:tcW w:w="3145" w:type="dxa"/>
          </w:tcPr>
          <w:p w14:paraId="07772565" w14:textId="10216D4A" w:rsidR="009034DE" w:rsidRPr="00725F05" w:rsidRDefault="009034DE" w:rsidP="009034DE">
            <w:pPr>
              <w:jc w:val="center"/>
              <w:rPr>
                <w:rFonts w:cstheme="minorHAnsi"/>
              </w:rPr>
            </w:pPr>
            <w:r w:rsidRPr="00725F05">
              <w:rPr>
                <w:rFonts w:cstheme="minorHAnsi"/>
              </w:rPr>
              <w:t>Rationale</w:t>
            </w:r>
          </w:p>
        </w:tc>
      </w:tr>
      <w:tr w:rsidR="00B4230E" w:rsidRPr="00725F05" w14:paraId="6907D01D" w14:textId="00E247FF" w:rsidTr="00327060">
        <w:tc>
          <w:tcPr>
            <w:tcW w:w="1530" w:type="dxa"/>
            <w:vMerge w:val="restart"/>
          </w:tcPr>
          <w:p w14:paraId="747881AB" w14:textId="15333EA7" w:rsidR="00B4230E" w:rsidRPr="00725F05" w:rsidRDefault="00B4230E" w:rsidP="009034DE">
            <w:pPr>
              <w:rPr>
                <w:rFonts w:cstheme="minorHAnsi"/>
              </w:rPr>
            </w:pPr>
            <w:r w:rsidRPr="00725F05">
              <w:rPr>
                <w:rFonts w:cstheme="minorHAnsi"/>
              </w:rPr>
              <w:t>Cardiovascular</w:t>
            </w:r>
          </w:p>
        </w:tc>
        <w:tc>
          <w:tcPr>
            <w:tcW w:w="2425" w:type="dxa"/>
          </w:tcPr>
          <w:p w14:paraId="0A88D086" w14:textId="1EE02012" w:rsidR="00B4230E" w:rsidRPr="00725F05" w:rsidRDefault="00B4230E" w:rsidP="009034DE">
            <w:pPr>
              <w:rPr>
                <w:rFonts w:cstheme="minorHAnsi"/>
              </w:rPr>
            </w:pPr>
            <w:r w:rsidRPr="00725F05"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>ACE inhibitors and angiotensin receptor blockers</w:t>
            </w:r>
          </w:p>
        </w:tc>
        <w:tc>
          <w:tcPr>
            <w:tcW w:w="3600" w:type="dxa"/>
          </w:tcPr>
          <w:p w14:paraId="3DB45C94" w14:textId="34465BC2" w:rsidR="00B4230E" w:rsidRPr="00725F05" w:rsidRDefault="00B4230E" w:rsidP="009034DE">
            <w:pPr>
              <w:rPr>
                <w:rFonts w:cstheme="minorHAnsi"/>
              </w:rPr>
            </w:pPr>
            <w:r w:rsidRPr="00725F05"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>Continue therapy up to day of surgery and hold morning dose unless indication is heart failure or poorly controlled hypertension.</w:t>
            </w:r>
          </w:p>
        </w:tc>
        <w:tc>
          <w:tcPr>
            <w:tcW w:w="2250" w:type="dxa"/>
          </w:tcPr>
          <w:p w14:paraId="4B507791" w14:textId="76B94F5F" w:rsidR="00B4230E" w:rsidRPr="00725F05" w:rsidRDefault="00B4230E" w:rsidP="009034DE">
            <w:pPr>
              <w:rPr>
                <w:rFonts w:cstheme="minorHAnsi"/>
              </w:rPr>
            </w:pPr>
            <w:r w:rsidRPr="00725F05">
              <w:rPr>
                <w:rFonts w:cstheme="minorHAnsi"/>
              </w:rPr>
              <w:t>Restart post-surgery when patient resumes oral intake unless hypotension present.</w:t>
            </w:r>
            <w:r>
              <w:rPr>
                <w:rFonts w:cstheme="minorHAnsi"/>
              </w:rPr>
              <w:t xml:space="preserve"> Delayed resumption linked to increased mortality in HF patient linked to increased 30-day mortality in non-cardiac surgery</w:t>
            </w:r>
            <w:r>
              <w:rPr>
                <w:rFonts w:cstheme="minorHAnsi"/>
                <w:vertAlign w:val="superscript"/>
              </w:rPr>
              <w:t>1-2</w:t>
            </w:r>
            <w:r>
              <w:rPr>
                <w:rFonts w:cstheme="minorHAnsi"/>
              </w:rPr>
              <w:t>.</w:t>
            </w:r>
          </w:p>
        </w:tc>
        <w:tc>
          <w:tcPr>
            <w:tcW w:w="3145" w:type="dxa"/>
          </w:tcPr>
          <w:p w14:paraId="03F0ACE0" w14:textId="502B2CFB" w:rsidR="00B4230E" w:rsidRPr="00F22C2B" w:rsidRDefault="00B4230E" w:rsidP="009034DE">
            <w:pPr>
              <w:rPr>
                <w:rFonts w:cstheme="minorHAnsi"/>
                <w:vertAlign w:val="superscript"/>
              </w:rPr>
            </w:pPr>
            <w:r w:rsidRPr="00725F05"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>Continuation can result in hypotension</w:t>
            </w:r>
            <w:r>
              <w:rPr>
                <w:rFonts w:cstheme="minorHAnsi"/>
                <w:color w:val="232323"/>
                <w:sz w:val="21"/>
                <w:szCs w:val="21"/>
                <w:shd w:val="clear" w:color="auto" w:fill="FFFFFF"/>
                <w:vertAlign w:val="superscript"/>
              </w:rPr>
              <w:t>3</w:t>
            </w:r>
          </w:p>
        </w:tc>
      </w:tr>
      <w:tr w:rsidR="00B4230E" w:rsidRPr="00725F05" w14:paraId="45DDEF19" w14:textId="3135050B" w:rsidTr="00327060">
        <w:tc>
          <w:tcPr>
            <w:tcW w:w="1530" w:type="dxa"/>
            <w:vMerge/>
          </w:tcPr>
          <w:p w14:paraId="5A4A9F58" w14:textId="15D35315" w:rsidR="00B4230E" w:rsidRPr="00725F05" w:rsidRDefault="00B4230E" w:rsidP="00725F05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172F6339" w14:textId="672719F4" w:rsidR="00B4230E" w:rsidRPr="00725F05" w:rsidRDefault="00B4230E" w:rsidP="00725F05">
            <w:pPr>
              <w:rPr>
                <w:rFonts w:cstheme="minorHAnsi"/>
              </w:rPr>
            </w:pPr>
            <w:r w:rsidRPr="00725F05"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>Non-statin lipid-lowering agents</w:t>
            </w:r>
          </w:p>
        </w:tc>
        <w:tc>
          <w:tcPr>
            <w:tcW w:w="3600" w:type="dxa"/>
          </w:tcPr>
          <w:p w14:paraId="0FFE4778" w14:textId="5FD40789" w:rsidR="00B4230E" w:rsidRPr="00725F05" w:rsidRDefault="00B4230E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Discontinue the day before surgery</w:t>
            </w:r>
          </w:p>
        </w:tc>
        <w:tc>
          <w:tcPr>
            <w:tcW w:w="2250" w:type="dxa"/>
          </w:tcPr>
          <w:p w14:paraId="29087E31" w14:textId="7501F442" w:rsidR="00B4230E" w:rsidRPr="00725F05" w:rsidRDefault="00B4230E" w:rsidP="00725F05">
            <w:pPr>
              <w:rPr>
                <w:rFonts w:cstheme="minorHAnsi"/>
              </w:rPr>
            </w:pPr>
            <w:r w:rsidRPr="00725F05">
              <w:rPr>
                <w:rFonts w:cstheme="minorHAnsi"/>
              </w:rPr>
              <w:t>Restart post-surgery when patient resumes oral intake</w:t>
            </w:r>
          </w:p>
        </w:tc>
        <w:tc>
          <w:tcPr>
            <w:tcW w:w="3145" w:type="dxa"/>
          </w:tcPr>
          <w:p w14:paraId="5A0F4957" w14:textId="40DBA3B4" w:rsidR="00B4230E" w:rsidRPr="00725F05" w:rsidRDefault="00B4230E" w:rsidP="00725F05">
            <w:pPr>
              <w:rPr>
                <w:rFonts w:cstheme="minorHAnsi"/>
              </w:rPr>
            </w:pPr>
            <w:r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>Surgery may increase risk of myopathy related to Niacin and fibrates.</w:t>
            </w:r>
            <w:r w:rsidRPr="00725F05"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 xml:space="preserve"> Bile acid sequestrants interfere with absorption of other medications.</w:t>
            </w:r>
            <w:r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 xml:space="preserve"> Disruption in perioperative state unlikely to change overall treatment outcome given long-term therapy.</w:t>
            </w:r>
            <w:r>
              <w:rPr>
                <w:rFonts w:cstheme="minorHAnsi"/>
                <w:color w:val="232323"/>
                <w:sz w:val="21"/>
                <w:szCs w:val="21"/>
                <w:shd w:val="clear" w:color="auto" w:fill="FFFFFF"/>
                <w:vertAlign w:val="superscript"/>
              </w:rPr>
              <w:t>4</w:t>
            </w:r>
            <w:r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4230E" w:rsidRPr="00725F05" w14:paraId="6F215ED2" w14:textId="77777777" w:rsidTr="00327060">
        <w:tc>
          <w:tcPr>
            <w:tcW w:w="1530" w:type="dxa"/>
            <w:vMerge/>
          </w:tcPr>
          <w:p w14:paraId="44607480" w14:textId="77777777" w:rsidR="00B4230E" w:rsidRPr="00725F05" w:rsidRDefault="00B4230E" w:rsidP="00725F05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43623927" w14:textId="58E89651" w:rsidR="00B4230E" w:rsidRPr="00B4230E" w:rsidRDefault="00B4230E" w:rsidP="00725F05">
            <w:pPr>
              <w:rPr>
                <w:rFonts w:cstheme="minorHAnsi"/>
                <w:color w:val="232323"/>
                <w:sz w:val="21"/>
                <w:szCs w:val="21"/>
                <w:shd w:val="clear" w:color="auto" w:fill="FFFFFF"/>
                <w:vertAlign w:val="superscript"/>
              </w:rPr>
            </w:pPr>
            <w:r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>Anti-platelets</w:t>
            </w:r>
            <w:r>
              <w:rPr>
                <w:rFonts w:cstheme="minorHAnsi"/>
                <w:color w:val="232323"/>
                <w:sz w:val="21"/>
                <w:szCs w:val="21"/>
                <w:shd w:val="clear" w:color="auto" w:fill="FFFFFF"/>
                <w:vertAlign w:val="superscript"/>
              </w:rPr>
              <w:t>9</w:t>
            </w:r>
          </w:p>
        </w:tc>
        <w:tc>
          <w:tcPr>
            <w:tcW w:w="3600" w:type="dxa"/>
          </w:tcPr>
          <w:p w14:paraId="2A37612A" w14:textId="16ED62D9" w:rsidR="00B4230E" w:rsidRDefault="00B4230E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Discontinue 7-10 days prior to elective, non-cardiac surgery. For cardiac surgery, consult cardiologist</w:t>
            </w:r>
          </w:p>
        </w:tc>
        <w:tc>
          <w:tcPr>
            <w:tcW w:w="2250" w:type="dxa"/>
          </w:tcPr>
          <w:p w14:paraId="2997537D" w14:textId="1B894955" w:rsidR="00B4230E" w:rsidRPr="00725F05" w:rsidRDefault="00B4230E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Resume with oral intake</w:t>
            </w:r>
          </w:p>
        </w:tc>
        <w:tc>
          <w:tcPr>
            <w:tcW w:w="3145" w:type="dxa"/>
          </w:tcPr>
          <w:p w14:paraId="2D6AA3F9" w14:textId="112BAFE0" w:rsidR="00B4230E" w:rsidRDefault="00B4230E" w:rsidP="00725F05">
            <w:pPr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>Increased risk of perioperative bleeding, however that must be balanced with perioperative cardiovascular risk.</w:t>
            </w:r>
          </w:p>
        </w:tc>
      </w:tr>
      <w:tr w:rsidR="00B4230E" w:rsidRPr="00725F05" w14:paraId="58A1073B" w14:textId="77777777" w:rsidTr="00327060">
        <w:tc>
          <w:tcPr>
            <w:tcW w:w="1530" w:type="dxa"/>
            <w:vMerge/>
          </w:tcPr>
          <w:p w14:paraId="5F828435" w14:textId="77777777" w:rsidR="00B4230E" w:rsidRPr="00725F05" w:rsidRDefault="00B4230E" w:rsidP="00725F05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2D16E096" w14:textId="7166C207" w:rsidR="00B4230E" w:rsidRPr="00B4230E" w:rsidRDefault="00B4230E" w:rsidP="00725F05">
            <w:pPr>
              <w:rPr>
                <w:rFonts w:cstheme="minorHAnsi"/>
                <w:color w:val="232323"/>
                <w:sz w:val="21"/>
                <w:szCs w:val="21"/>
                <w:shd w:val="clear" w:color="auto" w:fill="FFFFFF"/>
                <w:vertAlign w:val="superscript"/>
              </w:rPr>
            </w:pPr>
            <w:r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>Anticoagulants</w:t>
            </w:r>
            <w:r>
              <w:rPr>
                <w:rFonts w:cstheme="minorHAnsi"/>
                <w:color w:val="232323"/>
                <w:sz w:val="21"/>
                <w:szCs w:val="21"/>
                <w:shd w:val="clear" w:color="auto" w:fill="FFFFFF"/>
                <w:vertAlign w:val="superscript"/>
              </w:rPr>
              <w:t>13</w:t>
            </w:r>
          </w:p>
        </w:tc>
        <w:tc>
          <w:tcPr>
            <w:tcW w:w="3600" w:type="dxa"/>
          </w:tcPr>
          <w:p w14:paraId="4B3F3E20" w14:textId="4FCFA2C0" w:rsidR="00B4230E" w:rsidRDefault="00B4230E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Strategy depends on bleeding risk of procedure and clotting risk of the patient. Consult with surgeon. </w:t>
            </w:r>
          </w:p>
          <w:p w14:paraId="61B2B395" w14:textId="62F0CEED" w:rsidR="00B4230E" w:rsidRDefault="00B4230E" w:rsidP="00725F05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1FA033D9" w14:textId="1B006BC2" w:rsidR="00B4230E" w:rsidRDefault="00B4230E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Consult with surgeon</w:t>
            </w:r>
          </w:p>
        </w:tc>
        <w:tc>
          <w:tcPr>
            <w:tcW w:w="3145" w:type="dxa"/>
          </w:tcPr>
          <w:p w14:paraId="5FF1C1B4" w14:textId="3B7D81C8" w:rsidR="00B4230E" w:rsidRDefault="00B4230E" w:rsidP="00725F05">
            <w:pPr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32323"/>
                <w:sz w:val="21"/>
                <w:szCs w:val="21"/>
                <w:shd w:val="clear" w:color="auto" w:fill="FFFFFF"/>
              </w:rPr>
              <w:t xml:space="preserve">Discontinuation increases thromboembolic risk and continuing increases perioperative bleeding. Many strategies for risk stratification are published. </w:t>
            </w:r>
          </w:p>
        </w:tc>
      </w:tr>
      <w:tr w:rsidR="00327060" w:rsidRPr="00725F05" w14:paraId="2C116F78" w14:textId="177D8059" w:rsidTr="00327060">
        <w:tc>
          <w:tcPr>
            <w:tcW w:w="1530" w:type="dxa"/>
            <w:vMerge w:val="restart"/>
          </w:tcPr>
          <w:p w14:paraId="70D3B1A2" w14:textId="6A454517" w:rsidR="00327060" w:rsidRPr="00725F05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Diabetes</w:t>
            </w:r>
          </w:p>
        </w:tc>
        <w:tc>
          <w:tcPr>
            <w:tcW w:w="2425" w:type="dxa"/>
          </w:tcPr>
          <w:p w14:paraId="6E2A6EFE" w14:textId="6B7EDBF1" w:rsidR="00327060" w:rsidRPr="00725F05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SGLT-2 Inhibitors</w:t>
            </w:r>
          </w:p>
        </w:tc>
        <w:tc>
          <w:tcPr>
            <w:tcW w:w="3600" w:type="dxa"/>
          </w:tcPr>
          <w:p w14:paraId="6CF0E91A" w14:textId="10341F31" w:rsidR="00327060" w:rsidRPr="00725F05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Discontinue 3-4 days before surgery</w:t>
            </w:r>
          </w:p>
        </w:tc>
        <w:tc>
          <w:tcPr>
            <w:tcW w:w="2250" w:type="dxa"/>
          </w:tcPr>
          <w:p w14:paraId="712B7AC3" w14:textId="636BAC53" w:rsidR="00327060" w:rsidRPr="00725F05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Resume with normal oral intake. </w:t>
            </w:r>
          </w:p>
        </w:tc>
        <w:tc>
          <w:tcPr>
            <w:tcW w:w="3145" w:type="dxa"/>
          </w:tcPr>
          <w:p w14:paraId="44B1A5D5" w14:textId="594A3E31" w:rsidR="00327060" w:rsidRPr="00725F05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risk of UTI, hypovolemia, and potentially acute kidney injury and euglycemic DKA.</w:t>
            </w:r>
            <w:r>
              <w:rPr>
                <w:rFonts w:cstheme="minorHAnsi"/>
                <w:vertAlign w:val="superscript"/>
              </w:rPr>
              <w:t>5,8</w:t>
            </w:r>
            <w:r>
              <w:rPr>
                <w:rFonts w:cstheme="minorHAnsi"/>
              </w:rPr>
              <w:t xml:space="preserve"> </w:t>
            </w:r>
          </w:p>
        </w:tc>
      </w:tr>
      <w:tr w:rsidR="00327060" w:rsidRPr="00725F05" w14:paraId="148EF818" w14:textId="6E33AB80" w:rsidTr="00327060">
        <w:tc>
          <w:tcPr>
            <w:tcW w:w="1530" w:type="dxa"/>
            <w:vMerge/>
          </w:tcPr>
          <w:p w14:paraId="6B7A57B3" w14:textId="77777777" w:rsidR="00327060" w:rsidRPr="00725F05" w:rsidRDefault="00327060" w:rsidP="00725F05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33EE2656" w14:textId="7DCB8F38" w:rsidR="00327060" w:rsidRPr="00217664" w:rsidRDefault="00327060" w:rsidP="00725F05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Insulin</w:t>
            </w:r>
            <w:r>
              <w:rPr>
                <w:rFonts w:cstheme="minorHAnsi"/>
                <w:vertAlign w:val="superscript"/>
              </w:rPr>
              <w:t>7,8</w:t>
            </w:r>
          </w:p>
        </w:tc>
        <w:tc>
          <w:tcPr>
            <w:tcW w:w="3600" w:type="dxa"/>
          </w:tcPr>
          <w:p w14:paraId="0243B665" w14:textId="77777777" w:rsidR="00327060" w:rsidRDefault="00327060" w:rsidP="00725F05">
            <w:pPr>
              <w:rPr>
                <w:rFonts w:cstheme="minorHAnsi"/>
              </w:rPr>
            </w:pPr>
            <w:r w:rsidRPr="00DF521E">
              <w:rPr>
                <w:rFonts w:cstheme="minorHAnsi"/>
                <w:i/>
                <w:iCs/>
              </w:rPr>
              <w:t xml:space="preserve">Basal/Long acting insulin: </w:t>
            </w:r>
            <w:r>
              <w:rPr>
                <w:rFonts w:cstheme="minorHAnsi"/>
              </w:rPr>
              <w:t>Decrease dose evening before surgery by 10-25%</w:t>
            </w:r>
          </w:p>
          <w:p w14:paraId="22DA0CBE" w14:textId="77777777" w:rsidR="00327060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Pr="00DF521E">
              <w:rPr>
                <w:rFonts w:cstheme="minorHAnsi"/>
                <w:i/>
                <w:iCs/>
              </w:rPr>
              <w:t>/30 Insulin:</w:t>
            </w:r>
            <w:r>
              <w:rPr>
                <w:rFonts w:cstheme="minorHAnsi"/>
              </w:rPr>
              <w:t xml:space="preserve"> Decrease evening dose before surgery by 20% and morning dose before surgery by 50%</w:t>
            </w:r>
          </w:p>
          <w:p w14:paraId="52417F9E" w14:textId="4109589A" w:rsidR="00327060" w:rsidRPr="00725F05" w:rsidRDefault="00327060" w:rsidP="00725F05">
            <w:pPr>
              <w:rPr>
                <w:rFonts w:cstheme="minorHAnsi"/>
              </w:rPr>
            </w:pPr>
            <w:r w:rsidRPr="00DF521E">
              <w:rPr>
                <w:rFonts w:cstheme="minorHAnsi"/>
                <w:i/>
                <w:iCs/>
              </w:rPr>
              <w:t xml:space="preserve">Rapid acting/meal time insulin: </w:t>
            </w:r>
            <w:r>
              <w:rPr>
                <w:rFonts w:cstheme="minorHAnsi"/>
              </w:rPr>
              <w:t>Discontinue while NPO</w:t>
            </w:r>
          </w:p>
        </w:tc>
        <w:tc>
          <w:tcPr>
            <w:tcW w:w="2250" w:type="dxa"/>
          </w:tcPr>
          <w:p w14:paraId="35C9AA17" w14:textId="6451D7DD" w:rsidR="00327060" w:rsidRPr="00725F05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Restart with oral intake, doses may need to be adjusted until normal diet resumes. </w:t>
            </w:r>
          </w:p>
        </w:tc>
        <w:tc>
          <w:tcPr>
            <w:tcW w:w="3145" w:type="dxa"/>
          </w:tcPr>
          <w:p w14:paraId="4F474682" w14:textId="65DC4C8E" w:rsidR="00327060" w:rsidRPr="00725F05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risk of hypoglycemia and hyperglycemia. </w:t>
            </w:r>
          </w:p>
        </w:tc>
      </w:tr>
      <w:tr w:rsidR="00327060" w:rsidRPr="00725F05" w14:paraId="0439B814" w14:textId="77777777" w:rsidTr="00327060">
        <w:tc>
          <w:tcPr>
            <w:tcW w:w="1530" w:type="dxa"/>
            <w:vMerge/>
          </w:tcPr>
          <w:p w14:paraId="681CF5B3" w14:textId="77777777" w:rsidR="00327060" w:rsidRPr="00725F05" w:rsidRDefault="00327060" w:rsidP="00725F05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3A0AB8A8" w14:textId="0542639D" w:rsidR="00327060" w:rsidRPr="00BE7DB1" w:rsidRDefault="00327060" w:rsidP="00725F05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Other oral DM medications</w:t>
            </w:r>
            <w:r>
              <w:rPr>
                <w:rFonts w:cstheme="minorHAnsi"/>
                <w:vertAlign w:val="superscript"/>
              </w:rPr>
              <w:t>8</w:t>
            </w:r>
          </w:p>
        </w:tc>
        <w:tc>
          <w:tcPr>
            <w:tcW w:w="3600" w:type="dxa"/>
          </w:tcPr>
          <w:p w14:paraId="485ADCB2" w14:textId="6A7B46A8" w:rsidR="00327060" w:rsidRPr="00217664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 is reasonable to not give other oral DM medications the morning of surgery. </w:t>
            </w:r>
          </w:p>
        </w:tc>
        <w:tc>
          <w:tcPr>
            <w:tcW w:w="2250" w:type="dxa"/>
          </w:tcPr>
          <w:p w14:paraId="60D1866F" w14:textId="3B48AE0A" w:rsidR="00327060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Restart with oral intake</w:t>
            </w:r>
          </w:p>
        </w:tc>
        <w:tc>
          <w:tcPr>
            <w:tcW w:w="3145" w:type="dxa"/>
          </w:tcPr>
          <w:p w14:paraId="611F2E22" w14:textId="411E6C79" w:rsidR="00327060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risk of hypoglycemia (sulfonylurea), alteration of gastric motility and post operative state (GLP-1, DPP-4), risk of drug accumulation in decreased renal perfusion (metformin)</w:t>
            </w:r>
          </w:p>
        </w:tc>
      </w:tr>
      <w:tr w:rsidR="00725F05" w:rsidRPr="00725F05" w14:paraId="63BCD5AA" w14:textId="7C68D08D" w:rsidTr="00327060">
        <w:tc>
          <w:tcPr>
            <w:tcW w:w="1530" w:type="dxa"/>
          </w:tcPr>
          <w:p w14:paraId="7B1279D6" w14:textId="3DDBCF84" w:rsidR="00725F05" w:rsidRPr="00725F05" w:rsidRDefault="00F22C2B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Respiratory</w:t>
            </w:r>
          </w:p>
        </w:tc>
        <w:tc>
          <w:tcPr>
            <w:tcW w:w="2425" w:type="dxa"/>
          </w:tcPr>
          <w:p w14:paraId="4BD06BFD" w14:textId="73BBE2A7" w:rsidR="00725F05" w:rsidRPr="00BE7DB1" w:rsidRDefault="00F22C2B" w:rsidP="00725F05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Theophylline</w:t>
            </w:r>
            <w:r w:rsidR="00BE7DB1">
              <w:rPr>
                <w:rFonts w:cstheme="minorHAnsi"/>
                <w:vertAlign w:val="superscript"/>
              </w:rPr>
              <w:t>9</w:t>
            </w:r>
          </w:p>
        </w:tc>
        <w:tc>
          <w:tcPr>
            <w:tcW w:w="3600" w:type="dxa"/>
          </w:tcPr>
          <w:p w14:paraId="15CB9664" w14:textId="57CCBCDA" w:rsidR="00725F05" w:rsidRPr="00725F05" w:rsidRDefault="00DF521E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Discontinue the evening before surgery</w:t>
            </w:r>
          </w:p>
        </w:tc>
        <w:tc>
          <w:tcPr>
            <w:tcW w:w="2250" w:type="dxa"/>
          </w:tcPr>
          <w:p w14:paraId="3E5526C3" w14:textId="29A280E0" w:rsidR="00725F05" w:rsidRPr="00725F05" w:rsidRDefault="00DF521E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Resume with PO intake</w:t>
            </w:r>
          </w:p>
        </w:tc>
        <w:tc>
          <w:tcPr>
            <w:tcW w:w="3145" w:type="dxa"/>
          </w:tcPr>
          <w:p w14:paraId="5C159D91" w14:textId="55E5EC7F" w:rsidR="00725F05" w:rsidRPr="00725F05" w:rsidRDefault="00DF521E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for serious arrhythmias and neurotoxicity if levels become supratherapeutic. Lack of evidence that continuation decreases pulmonary complications</w:t>
            </w:r>
          </w:p>
        </w:tc>
      </w:tr>
      <w:tr w:rsidR="00327060" w:rsidRPr="00725F05" w14:paraId="7A521382" w14:textId="444AB6B1" w:rsidTr="00327060">
        <w:tc>
          <w:tcPr>
            <w:tcW w:w="1530" w:type="dxa"/>
            <w:vMerge w:val="restart"/>
          </w:tcPr>
          <w:p w14:paraId="370062D5" w14:textId="3D01AB0E" w:rsidR="00327060" w:rsidRPr="00725F05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Hormone Therapies</w:t>
            </w:r>
          </w:p>
        </w:tc>
        <w:tc>
          <w:tcPr>
            <w:tcW w:w="2425" w:type="dxa"/>
          </w:tcPr>
          <w:p w14:paraId="5E5DB7E4" w14:textId="09F3266B" w:rsidR="00327060" w:rsidRPr="00BE7DB1" w:rsidRDefault="00327060" w:rsidP="00725F05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Post-menopausal Estrogen Therapy</w:t>
            </w:r>
            <w:r>
              <w:rPr>
                <w:rFonts w:cstheme="minorHAnsi"/>
                <w:vertAlign w:val="superscript"/>
              </w:rPr>
              <w:t>9</w:t>
            </w:r>
          </w:p>
        </w:tc>
        <w:tc>
          <w:tcPr>
            <w:tcW w:w="3600" w:type="dxa"/>
          </w:tcPr>
          <w:p w14:paraId="7465A0B3" w14:textId="77777777" w:rsidR="00327060" w:rsidRDefault="00327060" w:rsidP="000074A1">
            <w:pPr>
              <w:rPr>
                <w:rFonts w:cstheme="minorHAnsi"/>
              </w:rPr>
            </w:pPr>
            <w:r w:rsidRPr="000074A1">
              <w:rPr>
                <w:rFonts w:cstheme="minorHAnsi"/>
                <w:i/>
                <w:iCs/>
              </w:rPr>
              <w:t>Low VTE risk procedure:</w:t>
            </w:r>
            <w:r>
              <w:rPr>
                <w:rFonts w:cstheme="minorHAnsi"/>
              </w:rPr>
              <w:t xml:space="preserve"> continue uninterrupted therapy </w:t>
            </w:r>
          </w:p>
          <w:p w14:paraId="4C649D90" w14:textId="771ACA21" w:rsidR="00327060" w:rsidRPr="00725F05" w:rsidRDefault="00327060" w:rsidP="00725F05">
            <w:pPr>
              <w:rPr>
                <w:rFonts w:cstheme="minorHAnsi"/>
              </w:rPr>
            </w:pPr>
            <w:r w:rsidRPr="000074A1">
              <w:rPr>
                <w:rFonts w:cstheme="minorHAnsi"/>
                <w:i/>
                <w:iCs/>
              </w:rPr>
              <w:t>High VTE risk procedure:</w:t>
            </w:r>
            <w:r>
              <w:rPr>
                <w:rFonts w:cstheme="minorHAnsi"/>
              </w:rPr>
              <w:t xml:space="preserve"> discontinue at least 2 weeks prior to surgery</w:t>
            </w:r>
          </w:p>
        </w:tc>
        <w:tc>
          <w:tcPr>
            <w:tcW w:w="2250" w:type="dxa"/>
          </w:tcPr>
          <w:p w14:paraId="4AFD8131" w14:textId="6E85ABD8" w:rsidR="00327060" w:rsidRPr="00725F05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High VTE risk procedure: Resume when VTE risk  has resolved</w:t>
            </w:r>
          </w:p>
        </w:tc>
        <w:tc>
          <w:tcPr>
            <w:tcW w:w="3145" w:type="dxa"/>
          </w:tcPr>
          <w:p w14:paraId="014F772D" w14:textId="42465904" w:rsidR="00327060" w:rsidRPr="00725F05" w:rsidRDefault="00327060" w:rsidP="00725F05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Continuation increases the risk of VTE</w:t>
            </w:r>
          </w:p>
        </w:tc>
      </w:tr>
      <w:tr w:rsidR="00327060" w:rsidRPr="00725F05" w14:paraId="3982E63D" w14:textId="77777777" w:rsidTr="00327060">
        <w:tc>
          <w:tcPr>
            <w:tcW w:w="1530" w:type="dxa"/>
            <w:vMerge/>
          </w:tcPr>
          <w:p w14:paraId="46E560EF" w14:textId="77777777" w:rsidR="00327060" w:rsidRDefault="00327060" w:rsidP="000074A1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68C49A3F" w14:textId="50159330" w:rsidR="00327060" w:rsidRPr="00BE7DB1" w:rsidRDefault="00327060" w:rsidP="000074A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Selective Estrogen Receptor Modulator (Raloxifene, Tamoxifen)</w:t>
            </w:r>
            <w:r>
              <w:rPr>
                <w:rFonts w:cstheme="minorHAnsi"/>
                <w:vertAlign w:val="superscript"/>
              </w:rPr>
              <w:t>9</w:t>
            </w:r>
          </w:p>
        </w:tc>
        <w:tc>
          <w:tcPr>
            <w:tcW w:w="3600" w:type="dxa"/>
          </w:tcPr>
          <w:p w14:paraId="41B5BF35" w14:textId="77777777" w:rsidR="00327060" w:rsidRDefault="00327060" w:rsidP="000074A1">
            <w:pPr>
              <w:rPr>
                <w:rFonts w:cstheme="minorHAnsi"/>
              </w:rPr>
            </w:pPr>
            <w:r w:rsidRPr="000074A1">
              <w:rPr>
                <w:rFonts w:cstheme="minorHAnsi"/>
                <w:i/>
                <w:iCs/>
              </w:rPr>
              <w:t>Low VTE risk procedure:</w:t>
            </w:r>
            <w:r>
              <w:rPr>
                <w:rFonts w:cstheme="minorHAnsi"/>
              </w:rPr>
              <w:t xml:space="preserve"> continue uninterrupted therapy </w:t>
            </w:r>
          </w:p>
          <w:p w14:paraId="0FCE3B09" w14:textId="77777777" w:rsidR="00327060" w:rsidRPr="000074A1" w:rsidRDefault="00327060" w:rsidP="000074A1">
            <w:pPr>
              <w:rPr>
                <w:rFonts w:cstheme="minorHAnsi"/>
                <w:i/>
                <w:iCs/>
              </w:rPr>
            </w:pPr>
            <w:r w:rsidRPr="000074A1">
              <w:rPr>
                <w:rFonts w:cstheme="minorHAnsi"/>
                <w:i/>
                <w:iCs/>
              </w:rPr>
              <w:t xml:space="preserve">High VTE risk procedure: </w:t>
            </w:r>
          </w:p>
          <w:p w14:paraId="65A700C6" w14:textId="77777777" w:rsidR="00327060" w:rsidRDefault="00327060" w:rsidP="000074A1">
            <w:pPr>
              <w:rPr>
                <w:rFonts w:cstheme="minorHAnsi"/>
              </w:rPr>
            </w:pPr>
            <w:r>
              <w:rPr>
                <w:rFonts w:cstheme="minorHAnsi"/>
              </w:rPr>
              <w:t>Raloxifene: discontinue 3 days prior to surgery</w:t>
            </w:r>
          </w:p>
          <w:p w14:paraId="64529CF2" w14:textId="0B48BEB6" w:rsidR="00327060" w:rsidRDefault="00327060" w:rsidP="000074A1">
            <w:pPr>
              <w:rPr>
                <w:rFonts w:cstheme="minorHAnsi"/>
              </w:rPr>
            </w:pPr>
            <w:r w:rsidRPr="000074A1">
              <w:rPr>
                <w:rFonts w:cstheme="minorHAnsi"/>
                <w:i/>
                <w:iCs/>
              </w:rPr>
              <w:lastRenderedPageBreak/>
              <w:t>Tamoxifen (for breast cancer prevention)</w:t>
            </w:r>
            <w:r>
              <w:rPr>
                <w:rFonts w:cstheme="minorHAnsi"/>
                <w:i/>
                <w:iCs/>
              </w:rPr>
              <w:t>:</w:t>
            </w:r>
            <w:r>
              <w:rPr>
                <w:rFonts w:cstheme="minorHAnsi"/>
              </w:rPr>
              <w:t xml:space="preserve"> Discontinue 2 weeks prior to procedure</w:t>
            </w:r>
          </w:p>
          <w:p w14:paraId="595E5287" w14:textId="78C727A4" w:rsidR="00327060" w:rsidRPr="00725F05" w:rsidRDefault="00327060" w:rsidP="000074A1">
            <w:pPr>
              <w:rPr>
                <w:rFonts w:cstheme="minorHAnsi"/>
              </w:rPr>
            </w:pPr>
            <w:r w:rsidRPr="000074A1">
              <w:rPr>
                <w:rFonts w:cstheme="minorHAnsi"/>
                <w:i/>
                <w:iCs/>
              </w:rPr>
              <w:t>Tamoxifen (for breast cancer treatment):</w:t>
            </w:r>
            <w:r>
              <w:rPr>
                <w:rFonts w:cstheme="minorHAnsi"/>
              </w:rPr>
              <w:t xml:space="preserve"> continue uninterrupted with appropriate VTE prophylaxis</w:t>
            </w:r>
          </w:p>
        </w:tc>
        <w:tc>
          <w:tcPr>
            <w:tcW w:w="2250" w:type="dxa"/>
          </w:tcPr>
          <w:p w14:paraId="1290F79D" w14:textId="0E63D4DA" w:rsidR="00327060" w:rsidRPr="00725F05" w:rsidRDefault="00327060" w:rsidP="000074A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Resume when tolerating oral therapies and VTE risk has resolved</w:t>
            </w:r>
          </w:p>
        </w:tc>
        <w:tc>
          <w:tcPr>
            <w:tcW w:w="3145" w:type="dxa"/>
          </w:tcPr>
          <w:p w14:paraId="5E77EB18" w14:textId="1ED75897" w:rsidR="00327060" w:rsidRPr="00725F05" w:rsidRDefault="00327060" w:rsidP="000074A1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Continuation increases the risk of VTE</w:t>
            </w:r>
          </w:p>
        </w:tc>
      </w:tr>
      <w:tr w:rsidR="000074A1" w:rsidRPr="00725F05" w14:paraId="29E1E3FA" w14:textId="77777777" w:rsidTr="00327060">
        <w:trPr>
          <w:trHeight w:val="2240"/>
        </w:trPr>
        <w:tc>
          <w:tcPr>
            <w:tcW w:w="1530" w:type="dxa"/>
          </w:tcPr>
          <w:p w14:paraId="0AB4259E" w14:textId="77777777" w:rsidR="000074A1" w:rsidRDefault="000074A1" w:rsidP="000074A1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3C13E43B" w14:textId="66BC7ABE" w:rsidR="000074A1" w:rsidRPr="00BE7DB1" w:rsidRDefault="000074A1" w:rsidP="000074A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Oral Contraceptives</w:t>
            </w:r>
            <w:r w:rsidR="00BE7DB1">
              <w:rPr>
                <w:rFonts w:cstheme="minorHAnsi"/>
                <w:vertAlign w:val="superscript"/>
              </w:rPr>
              <w:t>9</w:t>
            </w:r>
          </w:p>
        </w:tc>
        <w:tc>
          <w:tcPr>
            <w:tcW w:w="3600" w:type="dxa"/>
          </w:tcPr>
          <w:p w14:paraId="79D2E7B0" w14:textId="77777777" w:rsidR="000074A1" w:rsidRDefault="000074A1" w:rsidP="000074A1">
            <w:pPr>
              <w:rPr>
                <w:rFonts w:cstheme="minorHAnsi"/>
              </w:rPr>
            </w:pPr>
            <w:r w:rsidRPr="000074A1">
              <w:rPr>
                <w:rFonts w:cstheme="minorHAnsi"/>
                <w:i/>
                <w:iCs/>
              </w:rPr>
              <w:t>Low VTE risk procedure:</w:t>
            </w:r>
            <w:r>
              <w:rPr>
                <w:rFonts w:cstheme="minorHAnsi"/>
              </w:rPr>
              <w:t xml:space="preserve"> continue uninterrupted therapy </w:t>
            </w:r>
          </w:p>
          <w:p w14:paraId="6227905C" w14:textId="08130BBE" w:rsidR="000074A1" w:rsidRPr="00725F05" w:rsidRDefault="000074A1" w:rsidP="000074A1">
            <w:pPr>
              <w:rPr>
                <w:rFonts w:cstheme="minorHAnsi"/>
              </w:rPr>
            </w:pPr>
            <w:r w:rsidRPr="000074A1">
              <w:rPr>
                <w:rFonts w:cstheme="minorHAnsi"/>
                <w:i/>
                <w:iCs/>
              </w:rPr>
              <w:t>High VTE risk procedure:</w:t>
            </w:r>
            <w:r>
              <w:rPr>
                <w:rFonts w:cstheme="minorHAnsi"/>
              </w:rPr>
              <w:t xml:space="preserve"> discontinue at least 4 weeks prior to surgery with alternate contraception and pregnancy test prior to surgery</w:t>
            </w:r>
          </w:p>
        </w:tc>
        <w:tc>
          <w:tcPr>
            <w:tcW w:w="2250" w:type="dxa"/>
          </w:tcPr>
          <w:p w14:paraId="22DA0CF7" w14:textId="11FF8AAF" w:rsidR="000074A1" w:rsidRPr="000074A1" w:rsidRDefault="000074A1" w:rsidP="000074A1">
            <w:pPr>
              <w:rPr>
                <w:rFonts w:cstheme="minorHAnsi"/>
              </w:rPr>
            </w:pPr>
            <w:r>
              <w:rPr>
                <w:rFonts w:cstheme="minorHAnsi"/>
              </w:rPr>
              <w:t>Resume when tolerating oral therapies</w:t>
            </w:r>
          </w:p>
        </w:tc>
        <w:tc>
          <w:tcPr>
            <w:tcW w:w="3145" w:type="dxa"/>
          </w:tcPr>
          <w:p w14:paraId="223016A8" w14:textId="18C55CAB" w:rsidR="000074A1" w:rsidRPr="00725F05" w:rsidRDefault="000074A1" w:rsidP="000074A1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Continuation increases the risk of VTE, however discontinuation increases risk of pregnancy.</w:t>
            </w:r>
          </w:p>
        </w:tc>
      </w:tr>
      <w:tr w:rsidR="00810B9A" w:rsidRPr="00725F05" w14:paraId="1648FE64" w14:textId="77777777" w:rsidTr="00327060">
        <w:tc>
          <w:tcPr>
            <w:tcW w:w="1530" w:type="dxa"/>
            <w:vMerge w:val="restart"/>
          </w:tcPr>
          <w:p w14:paraId="06661C87" w14:textId="79136988" w:rsidR="00810B9A" w:rsidRDefault="00810B9A" w:rsidP="000074A1">
            <w:pPr>
              <w:rPr>
                <w:rFonts w:cstheme="minorHAnsi"/>
              </w:rPr>
            </w:pPr>
            <w:r>
              <w:rPr>
                <w:rFonts w:cstheme="minorHAnsi"/>
              </w:rPr>
              <w:t>Psychotropic Medications</w:t>
            </w:r>
          </w:p>
        </w:tc>
        <w:tc>
          <w:tcPr>
            <w:tcW w:w="2425" w:type="dxa"/>
          </w:tcPr>
          <w:p w14:paraId="16611ABF" w14:textId="20F587BB" w:rsidR="00810B9A" w:rsidRPr="00810B9A" w:rsidRDefault="00810B9A" w:rsidP="000074A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Serotonin Reuptake Inhibtors (SSRI, SNRI)</w:t>
            </w:r>
            <w:r w:rsidRPr="00810B9A">
              <w:rPr>
                <w:rFonts w:cstheme="minorHAnsi"/>
                <w:vertAlign w:val="superscript"/>
              </w:rPr>
              <w:t>9</w:t>
            </w:r>
          </w:p>
        </w:tc>
        <w:tc>
          <w:tcPr>
            <w:tcW w:w="3600" w:type="dxa"/>
          </w:tcPr>
          <w:p w14:paraId="264BD19A" w14:textId="233581B9" w:rsidR="00810B9A" w:rsidRPr="00725F05" w:rsidRDefault="00810B9A" w:rsidP="000074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Discontinue 3 weeks before surgery for high risk procedures </w:t>
            </w:r>
          </w:p>
        </w:tc>
        <w:tc>
          <w:tcPr>
            <w:tcW w:w="2250" w:type="dxa"/>
          </w:tcPr>
          <w:p w14:paraId="45B4CDF9" w14:textId="2E6FE016" w:rsidR="00810B9A" w:rsidRDefault="00810B9A" w:rsidP="000074A1">
            <w:pPr>
              <w:rPr>
                <w:rFonts w:cstheme="minorHAnsi"/>
              </w:rPr>
            </w:pPr>
            <w:r>
              <w:rPr>
                <w:rFonts w:cstheme="minorHAnsi"/>
              </w:rPr>
              <w:t>Resume with oral intake</w:t>
            </w:r>
          </w:p>
        </w:tc>
        <w:tc>
          <w:tcPr>
            <w:tcW w:w="3145" w:type="dxa"/>
          </w:tcPr>
          <w:p w14:paraId="444E98CE" w14:textId="30AE1201" w:rsidR="00810B9A" w:rsidRPr="00725F05" w:rsidRDefault="00810B9A" w:rsidP="000074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risk of bleeding for some procedures. Likely safe in orthopedic, cardiac and plastic surgery. Intracranial procedures increase risk of bleeding. </w:t>
            </w:r>
          </w:p>
        </w:tc>
      </w:tr>
      <w:tr w:rsidR="00810B9A" w:rsidRPr="00725F05" w14:paraId="5BA7A287" w14:textId="77777777" w:rsidTr="00327060">
        <w:tc>
          <w:tcPr>
            <w:tcW w:w="1530" w:type="dxa"/>
            <w:vMerge/>
          </w:tcPr>
          <w:p w14:paraId="1929D2E2" w14:textId="77777777" w:rsidR="00810B9A" w:rsidRDefault="00810B9A" w:rsidP="00810B9A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748BF80C" w14:textId="6381971C" w:rsidR="00810B9A" w:rsidRPr="00810B9A" w:rsidRDefault="00810B9A" w:rsidP="00810B9A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Lithium</w:t>
            </w:r>
            <w:r>
              <w:rPr>
                <w:rFonts w:cstheme="minorHAnsi"/>
                <w:vertAlign w:val="superscript"/>
              </w:rPr>
              <w:t>9</w:t>
            </w:r>
          </w:p>
        </w:tc>
        <w:tc>
          <w:tcPr>
            <w:tcW w:w="3600" w:type="dxa"/>
          </w:tcPr>
          <w:p w14:paraId="38B7DD4B" w14:textId="4406DC28" w:rsidR="00810B9A" w:rsidRDefault="00810B9A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therapy with close monitoring of electrolytes and volume status</w:t>
            </w:r>
          </w:p>
        </w:tc>
        <w:tc>
          <w:tcPr>
            <w:tcW w:w="2250" w:type="dxa"/>
          </w:tcPr>
          <w:p w14:paraId="00B166AF" w14:textId="2327969D" w:rsidR="00810B9A" w:rsidRDefault="00810B9A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>Resume with oral intake</w:t>
            </w:r>
          </w:p>
        </w:tc>
        <w:tc>
          <w:tcPr>
            <w:tcW w:w="3145" w:type="dxa"/>
          </w:tcPr>
          <w:p w14:paraId="30BCF249" w14:textId="00702451" w:rsidR="00810B9A" w:rsidRPr="00810B9A" w:rsidRDefault="00810B9A" w:rsidP="00810B9A">
            <w:pPr>
              <w:rPr>
                <w:rFonts w:cstheme="minorHAnsi"/>
              </w:rPr>
            </w:pPr>
            <w:r w:rsidRPr="00810B9A">
              <w:rPr>
                <w:rFonts w:cstheme="minorHAnsi"/>
                <w:color w:val="232323"/>
                <w:shd w:val="clear" w:color="auto" w:fill="FFFFFF"/>
              </w:rPr>
              <w:t>Continuation may prolong the effect of muscle relaxants and, due to impaired renal concentrating ability, can cause hypovolemia and hypernatremia.</w:t>
            </w:r>
          </w:p>
        </w:tc>
      </w:tr>
      <w:tr w:rsidR="00810B9A" w:rsidRPr="00725F05" w14:paraId="76E8BC4A" w14:textId="77777777" w:rsidTr="00327060">
        <w:trPr>
          <w:trHeight w:val="1520"/>
        </w:trPr>
        <w:tc>
          <w:tcPr>
            <w:tcW w:w="1530" w:type="dxa"/>
            <w:vMerge/>
          </w:tcPr>
          <w:p w14:paraId="1BBA0CF0" w14:textId="77777777" w:rsidR="00810B9A" w:rsidRDefault="00810B9A" w:rsidP="00810B9A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4B8F0F5B" w14:textId="38A9C1EE" w:rsidR="00810B9A" w:rsidRDefault="00810B9A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>MAO-Inhibitors</w:t>
            </w:r>
            <w:r>
              <w:rPr>
                <w:rFonts w:cstheme="minorHAnsi"/>
                <w:vertAlign w:val="superscript"/>
              </w:rPr>
              <w:t>10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600" w:type="dxa"/>
          </w:tcPr>
          <w:p w14:paraId="4A4CEA6D" w14:textId="3A1C6290" w:rsidR="00810B9A" w:rsidRDefault="00810B9A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Collaborate with surgeon and/or psychiatry to establish plan. If therapy will be discontinued, must be stopped 2 weeks prior to surgery. </w:t>
            </w:r>
          </w:p>
        </w:tc>
        <w:tc>
          <w:tcPr>
            <w:tcW w:w="2250" w:type="dxa"/>
          </w:tcPr>
          <w:p w14:paraId="03CA45AC" w14:textId="14F47619" w:rsidR="00810B9A" w:rsidRDefault="00810B9A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>Resume with oral intake</w:t>
            </w:r>
          </w:p>
        </w:tc>
        <w:tc>
          <w:tcPr>
            <w:tcW w:w="3145" w:type="dxa"/>
          </w:tcPr>
          <w:p w14:paraId="01DF8472" w14:textId="120592B5" w:rsidR="00810B9A" w:rsidRDefault="00810B9A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result in severe hypertension with certain anesthesia agents. </w:t>
            </w:r>
          </w:p>
        </w:tc>
      </w:tr>
      <w:tr w:rsidR="00327060" w:rsidRPr="00725F05" w14:paraId="06982246" w14:textId="77777777" w:rsidTr="00327060">
        <w:trPr>
          <w:trHeight w:val="8057"/>
        </w:trPr>
        <w:tc>
          <w:tcPr>
            <w:tcW w:w="1530" w:type="dxa"/>
          </w:tcPr>
          <w:p w14:paraId="086631C8" w14:textId="0144142C" w:rsidR="00327060" w:rsidRPr="00810B9A" w:rsidRDefault="00327060" w:rsidP="00810B9A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Herbal Medications</w:t>
            </w:r>
            <w:r>
              <w:rPr>
                <w:rFonts w:cstheme="minorHAnsi"/>
                <w:vertAlign w:val="superscript"/>
              </w:rPr>
              <w:t>11</w:t>
            </w:r>
          </w:p>
        </w:tc>
        <w:tc>
          <w:tcPr>
            <w:tcW w:w="2425" w:type="dxa"/>
          </w:tcPr>
          <w:p w14:paraId="5390753C" w14:textId="79D84669" w:rsidR="00327060" w:rsidRDefault="00327060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 products</w:t>
            </w:r>
          </w:p>
        </w:tc>
        <w:tc>
          <w:tcPr>
            <w:tcW w:w="3600" w:type="dxa"/>
          </w:tcPr>
          <w:p w14:paraId="67EE65BF" w14:textId="265D1B04" w:rsidR="00327060" w:rsidRPr="00725F05" w:rsidRDefault="00327060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>For simplicity, it is recommended to discontinue ALL herbal medications at least 1 week prior to surgery</w:t>
            </w:r>
          </w:p>
        </w:tc>
        <w:tc>
          <w:tcPr>
            <w:tcW w:w="2250" w:type="dxa"/>
          </w:tcPr>
          <w:p w14:paraId="3FC24041" w14:textId="52CE6894" w:rsidR="00327060" w:rsidRDefault="00327060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Likely fine to resume with oral intake, consider if herbal therapy is indicated/beneficial. </w:t>
            </w:r>
          </w:p>
        </w:tc>
        <w:tc>
          <w:tcPr>
            <w:tcW w:w="3145" w:type="dxa"/>
          </w:tcPr>
          <w:p w14:paraId="4DC772F3" w14:textId="77777777" w:rsidR="00327060" w:rsidRDefault="00327060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Known offending agents: </w:t>
            </w:r>
          </w:p>
          <w:p w14:paraId="01388D09" w14:textId="77777777" w:rsidR="00327060" w:rsidRPr="00725F05" w:rsidRDefault="00327060" w:rsidP="00810B9A">
            <w:pPr>
              <w:rPr>
                <w:rFonts w:cstheme="minorHAnsi"/>
              </w:rPr>
            </w:pPr>
            <w:r w:rsidRPr="00327060">
              <w:rPr>
                <w:rFonts w:cstheme="minorHAnsi"/>
                <w:i/>
                <w:iCs/>
              </w:rPr>
              <w:t>Ephedra:</w:t>
            </w:r>
            <w:r>
              <w:rPr>
                <w:rFonts w:cstheme="minorHAnsi"/>
              </w:rPr>
              <w:t xml:space="preserve"> Increased risk of myocardial infarction</w:t>
            </w:r>
          </w:p>
          <w:p w14:paraId="71873FE6" w14:textId="60954BB7" w:rsidR="00327060" w:rsidRDefault="00327060" w:rsidP="00810B9A">
            <w:pPr>
              <w:rPr>
                <w:rFonts w:cstheme="minorHAnsi"/>
              </w:rPr>
            </w:pPr>
            <w:r w:rsidRPr="00327060">
              <w:rPr>
                <w:rFonts w:cstheme="minorHAnsi"/>
                <w:i/>
                <w:iCs/>
              </w:rPr>
              <w:t>Garlic:</w:t>
            </w:r>
            <w:r>
              <w:rPr>
                <w:rFonts w:cstheme="minorHAnsi"/>
              </w:rPr>
              <w:t xml:space="preserve"> Increased risk of bleeding</w:t>
            </w:r>
          </w:p>
          <w:p w14:paraId="6CAB4C25" w14:textId="32A9C3BF" w:rsidR="00327060" w:rsidRDefault="00327060" w:rsidP="00810B9A">
            <w:pPr>
              <w:rPr>
                <w:rFonts w:cstheme="minorHAnsi"/>
              </w:rPr>
            </w:pPr>
            <w:r w:rsidRPr="00327060">
              <w:rPr>
                <w:rFonts w:cstheme="minorHAnsi"/>
                <w:i/>
                <w:iCs/>
              </w:rPr>
              <w:t>Ginkgo</w:t>
            </w:r>
            <w:r>
              <w:rPr>
                <w:rFonts w:cstheme="minorHAnsi"/>
              </w:rPr>
              <w:t>: Increased risk of bleeding</w:t>
            </w:r>
          </w:p>
          <w:p w14:paraId="02951AE9" w14:textId="08DEB3BA" w:rsidR="00327060" w:rsidRDefault="00327060" w:rsidP="00810B9A">
            <w:pPr>
              <w:rPr>
                <w:rFonts w:cstheme="minorHAnsi"/>
              </w:rPr>
            </w:pPr>
            <w:r w:rsidRPr="00327060">
              <w:rPr>
                <w:rFonts w:cstheme="minorHAnsi"/>
                <w:i/>
                <w:iCs/>
              </w:rPr>
              <w:t>Ginseng</w:t>
            </w:r>
            <w:r>
              <w:rPr>
                <w:rFonts w:cstheme="minorHAnsi"/>
              </w:rPr>
              <w:t>: Lowers blood sugar and increasing risk of bleeding</w:t>
            </w:r>
          </w:p>
          <w:p w14:paraId="2D360CAD" w14:textId="270E794E" w:rsidR="00327060" w:rsidRDefault="00327060" w:rsidP="00810B9A">
            <w:pPr>
              <w:rPr>
                <w:rFonts w:cstheme="minorHAnsi"/>
              </w:rPr>
            </w:pPr>
            <w:r w:rsidRPr="00327060">
              <w:rPr>
                <w:rFonts w:cstheme="minorHAnsi"/>
                <w:i/>
                <w:iCs/>
              </w:rPr>
              <w:t>Kava:</w:t>
            </w:r>
            <w:r>
              <w:rPr>
                <w:rFonts w:cstheme="minorHAnsi"/>
              </w:rPr>
              <w:t xml:space="preserve"> Increase sedative effect of anesthetics, associated with hepatotoxicity</w:t>
            </w:r>
          </w:p>
          <w:p w14:paraId="0D910CE3" w14:textId="5D014B93" w:rsidR="00327060" w:rsidRDefault="00327060" w:rsidP="00810B9A">
            <w:pPr>
              <w:rPr>
                <w:rFonts w:cstheme="minorHAnsi"/>
              </w:rPr>
            </w:pPr>
            <w:r w:rsidRPr="00327060">
              <w:rPr>
                <w:rFonts w:cstheme="minorHAnsi"/>
                <w:i/>
                <w:iCs/>
              </w:rPr>
              <w:t>St. Johns Wort:</w:t>
            </w:r>
            <w:r>
              <w:rPr>
                <w:rFonts w:cstheme="minorHAnsi"/>
              </w:rPr>
              <w:t xml:space="preserve"> Can diminish the effect some drugs via CYP 450 metabolism</w:t>
            </w:r>
          </w:p>
          <w:p w14:paraId="10A82840" w14:textId="52610E5C" w:rsidR="00327060" w:rsidRDefault="00327060" w:rsidP="00810B9A">
            <w:pPr>
              <w:rPr>
                <w:rFonts w:cstheme="minorHAnsi"/>
              </w:rPr>
            </w:pPr>
            <w:r w:rsidRPr="00327060">
              <w:rPr>
                <w:rFonts w:cstheme="minorHAnsi"/>
                <w:i/>
                <w:iCs/>
              </w:rPr>
              <w:t>Valerian:</w:t>
            </w:r>
            <w:r>
              <w:rPr>
                <w:rFonts w:cstheme="minorHAnsi"/>
              </w:rPr>
              <w:t xml:space="preserve"> Increase sedative effect of anesthetics</w:t>
            </w:r>
          </w:p>
          <w:p w14:paraId="1A27DEB9" w14:textId="6A65CCFC" w:rsidR="00327060" w:rsidRPr="00725F05" w:rsidRDefault="00327060" w:rsidP="00810B9A">
            <w:pPr>
              <w:rPr>
                <w:rFonts w:cstheme="minorHAnsi"/>
              </w:rPr>
            </w:pPr>
            <w:r w:rsidRPr="00327060">
              <w:rPr>
                <w:rFonts w:cstheme="minorHAnsi"/>
                <w:i/>
                <w:iCs/>
              </w:rPr>
              <w:t>Echinacea:</w:t>
            </w:r>
            <w:r>
              <w:rPr>
                <w:rFonts w:cstheme="minorHAnsi"/>
              </w:rPr>
              <w:t xml:space="preserve"> Associated with allergic reactions and immune stimulation</w:t>
            </w:r>
          </w:p>
        </w:tc>
      </w:tr>
      <w:tr w:rsidR="00810B9A" w:rsidRPr="00725F05" w14:paraId="366040A3" w14:textId="77777777" w:rsidTr="00327060">
        <w:tc>
          <w:tcPr>
            <w:tcW w:w="1530" w:type="dxa"/>
          </w:tcPr>
          <w:p w14:paraId="0CB5874F" w14:textId="5316AEC9" w:rsidR="00810B9A" w:rsidRDefault="00810B9A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>Biologic Medication</w:t>
            </w:r>
          </w:p>
        </w:tc>
        <w:tc>
          <w:tcPr>
            <w:tcW w:w="2425" w:type="dxa"/>
          </w:tcPr>
          <w:p w14:paraId="2B14A882" w14:textId="29542292" w:rsidR="00810B9A" w:rsidRDefault="00327060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 products</w:t>
            </w:r>
          </w:p>
        </w:tc>
        <w:tc>
          <w:tcPr>
            <w:tcW w:w="3600" w:type="dxa"/>
          </w:tcPr>
          <w:p w14:paraId="52914FA7" w14:textId="1C95EAE5" w:rsidR="00810B9A" w:rsidRPr="00725F05" w:rsidRDefault="00327060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Generally held prior to surgery and surgery planned for the end of the dosing cycle for that particular agent. Consult with treating provider</w:t>
            </w:r>
          </w:p>
        </w:tc>
        <w:tc>
          <w:tcPr>
            <w:tcW w:w="2250" w:type="dxa"/>
          </w:tcPr>
          <w:p w14:paraId="2BA99E00" w14:textId="1B91B325" w:rsidR="00810B9A" w:rsidRDefault="00327060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>Restart when external wound healing is complete</w:t>
            </w:r>
          </w:p>
        </w:tc>
        <w:tc>
          <w:tcPr>
            <w:tcW w:w="3145" w:type="dxa"/>
          </w:tcPr>
          <w:p w14:paraId="251F21CB" w14:textId="25E61A0B" w:rsidR="00810B9A" w:rsidRPr="00725F05" w:rsidRDefault="00327060" w:rsidP="00810B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Potential for increased surgical infection and delayed wound healing. </w:t>
            </w:r>
          </w:p>
        </w:tc>
      </w:tr>
      <w:tr w:rsidR="00810B9A" w:rsidRPr="00725F05" w14:paraId="5739E2BE" w14:textId="77777777" w:rsidTr="00327060">
        <w:tc>
          <w:tcPr>
            <w:tcW w:w="1530" w:type="dxa"/>
          </w:tcPr>
          <w:p w14:paraId="3C25A388" w14:textId="77777777" w:rsidR="00810B9A" w:rsidRDefault="00810B9A" w:rsidP="00810B9A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0AFF6151" w14:textId="4549E299" w:rsidR="00810B9A" w:rsidRDefault="00810B9A" w:rsidP="00810B9A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024509CA" w14:textId="77777777" w:rsidR="00810B9A" w:rsidRPr="00725F05" w:rsidRDefault="00810B9A" w:rsidP="00810B9A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2D95480D" w14:textId="77777777" w:rsidR="00810B9A" w:rsidRDefault="00810B9A" w:rsidP="00810B9A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52F9E102" w14:textId="77777777" w:rsidR="00810B9A" w:rsidRPr="00725F05" w:rsidRDefault="00810B9A" w:rsidP="00810B9A">
            <w:pPr>
              <w:rPr>
                <w:rFonts w:cstheme="minorHAnsi"/>
              </w:rPr>
            </w:pPr>
          </w:p>
        </w:tc>
      </w:tr>
    </w:tbl>
    <w:p w14:paraId="4A912867" w14:textId="7FDE3CD7" w:rsidR="009034DE" w:rsidRDefault="009034DE" w:rsidP="009034DE">
      <w:r>
        <w:t xml:space="preserve">References: </w:t>
      </w:r>
    </w:p>
    <w:p w14:paraId="0631F8BC" w14:textId="461FF021" w:rsidR="00996F38" w:rsidRPr="00BE7DB1" w:rsidRDefault="00996F38" w:rsidP="00996F38">
      <w:pPr>
        <w:pStyle w:val="ListParagraph"/>
        <w:numPr>
          <w:ilvl w:val="0"/>
          <w:numId w:val="1"/>
        </w:numPr>
        <w:rPr>
          <w:rFonts w:cstheme="minorHAnsi"/>
          <w:color w:val="232323"/>
          <w:sz w:val="20"/>
          <w:szCs w:val="20"/>
          <w:shd w:val="clear" w:color="auto" w:fill="FFFFFF"/>
        </w:rPr>
      </w:pPr>
      <w:r w:rsidRPr="00BE7DB1">
        <w:rPr>
          <w:rFonts w:cstheme="minorHAnsi"/>
          <w:color w:val="232323"/>
          <w:sz w:val="20"/>
          <w:szCs w:val="20"/>
          <w:shd w:val="clear" w:color="auto" w:fill="FFFFFF"/>
        </w:rPr>
        <w:t>Lee SM, Takemoto S, Wallace AW. Association between Withholding Angiotensin Receptor Blockers in the Early Postoperative Period and 30-day Mortality: A Cohort Study of the Veterans Affairs Healthcare System. Anesthesiology. 2015 Aug;123(2):288-306. </w:t>
      </w:r>
    </w:p>
    <w:p w14:paraId="7670D51B" w14:textId="5ECCB01E" w:rsidR="00996F38" w:rsidRPr="00BE7DB1" w:rsidRDefault="00996F38" w:rsidP="00996F3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7DB1">
        <w:rPr>
          <w:rFonts w:cstheme="minorHAnsi"/>
          <w:color w:val="232323"/>
          <w:sz w:val="20"/>
          <w:szCs w:val="20"/>
          <w:shd w:val="clear" w:color="auto" w:fill="FFFFFF"/>
        </w:rPr>
        <w:t>Mudumbai SC, Takemoto S, Cason BA, Au S, Upadhyay A, Wallace AW. Thirty-day mortality risk associated with the postoperative non-resumption of angiotensin-converting enzyme inhibitors: a retrospective study of the Veterans Affairs Healthcare System. J Hosp Med. 2014 May;9(5):289-96. </w:t>
      </w:r>
    </w:p>
    <w:p w14:paraId="6D8D5912" w14:textId="3CB881A7" w:rsidR="00996F38" w:rsidRPr="00BE7DB1" w:rsidRDefault="00996F38" w:rsidP="00996F3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7DB1">
        <w:rPr>
          <w:rFonts w:cstheme="minorHAnsi"/>
          <w:color w:val="232323"/>
          <w:sz w:val="20"/>
          <w:szCs w:val="20"/>
          <w:shd w:val="clear" w:color="auto" w:fill="FFFFFF"/>
        </w:rPr>
        <w:t>Kristensen SD, Knuuti J, Saraste A, et al. 2014 ESC/ESA Guidelines on non-cardiac surgery: cardiovascular assessment and management: The Joint Task Force on non-cardiac surgery: cardiovascular assessment and management of the European Society of Cardiology (ESC) and the European Society of Anaesthesiology (ESA). Eur Heart J. 2014;35(35):2383. Epub 2014 Aug 1. </w:t>
      </w:r>
    </w:p>
    <w:p w14:paraId="0D52C24E" w14:textId="076159FB" w:rsidR="00F22C2B" w:rsidRPr="00BE7DB1" w:rsidRDefault="00F22C2B" w:rsidP="00996F3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7DB1">
        <w:rPr>
          <w:rFonts w:cstheme="minorHAnsi"/>
          <w:color w:val="232323"/>
          <w:sz w:val="20"/>
          <w:szCs w:val="20"/>
          <w:shd w:val="clear" w:color="auto" w:fill="FFFFFF"/>
        </w:rPr>
        <w:t>Roizen MF. Etic implications of concurrent diseases. In: Anesthesia, Miller RD (Ed), Churchill Livingstone, Philadelphia 2000. p.903</w:t>
      </w:r>
    </w:p>
    <w:p w14:paraId="20518B03" w14:textId="77777777" w:rsidR="000074A1" w:rsidRPr="00BE7DB1" w:rsidRDefault="000074A1" w:rsidP="00996F3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7DB1">
        <w:rPr>
          <w:rFonts w:cstheme="minorHAnsi"/>
          <w:color w:val="232323"/>
          <w:sz w:val="20"/>
          <w:szCs w:val="20"/>
          <w:shd w:val="clear" w:color="auto" w:fill="FFFFFF"/>
        </w:rPr>
        <w:t>American Diabetes Association. Diabetes Care in the Hospital: Standards of Medical Care in Diabetes-2021. Diabetes Care. 2021;44(Suppl 1):S21</w:t>
      </w:r>
    </w:p>
    <w:p w14:paraId="3CC596D3" w14:textId="34BED235" w:rsidR="000074A1" w:rsidRPr="00BE7DB1" w:rsidRDefault="000074A1" w:rsidP="00996F3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7DB1">
        <w:rPr>
          <w:rFonts w:cstheme="minorHAnsi"/>
          <w:color w:val="232323"/>
          <w:sz w:val="20"/>
          <w:szCs w:val="20"/>
          <w:shd w:val="clear" w:color="auto" w:fill="FFFFFF"/>
        </w:rPr>
        <w:t>Milder DA, Milder TY, Kam PCA. Sodium-glucose co-transporter type-2 inhibitors: pharmacology and peri-operative considerations. Anaesthesia. 2018;73(8):1008. Epub 2018 Mar 12.  </w:t>
      </w:r>
    </w:p>
    <w:p w14:paraId="1792FDDE" w14:textId="47342B35" w:rsidR="00217664" w:rsidRPr="00BE7DB1" w:rsidRDefault="00217664" w:rsidP="00996F3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E7DB1">
        <w:rPr>
          <w:rFonts w:cstheme="minorHAnsi"/>
          <w:color w:val="232323"/>
          <w:sz w:val="20"/>
          <w:szCs w:val="20"/>
          <w:shd w:val="clear" w:color="auto" w:fill="FFFFFF"/>
        </w:rPr>
        <w:t>Demma LJ, Carlson KT, Duggan EW, Morrow JG 3rd, Umpierrez G. Effect of basal insulin dosage on blood glucose concentration in ambulatory surgery patients with type 2 diabetes. J Clin Anesth. 2017;36:184. Epub 2016 Dec 5. </w:t>
      </w:r>
    </w:p>
    <w:p w14:paraId="021857ED" w14:textId="39345994" w:rsidR="00217664" w:rsidRPr="00BE7DB1" w:rsidRDefault="009E69E2" w:rsidP="00A601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hyperlink r:id="rId5" w:tgtFrame="_blank" w:history="1">
        <w:r w:rsidR="00217664" w:rsidRPr="00BE7DB1">
          <w:rPr>
            <w:rFonts w:eastAsia="Times New Roman" w:cstheme="minorHAnsi"/>
            <w:sz w:val="20"/>
            <w:szCs w:val="20"/>
          </w:rPr>
          <w:t>Nadia A Khan, MD, MSc</w:t>
        </w:r>
      </w:hyperlink>
      <w:r w:rsidR="00217664" w:rsidRPr="00BE7DB1">
        <w:rPr>
          <w:rFonts w:eastAsia="Times New Roman" w:cstheme="minorHAnsi"/>
          <w:sz w:val="20"/>
          <w:szCs w:val="20"/>
        </w:rPr>
        <w:t xml:space="preserve">, </w:t>
      </w:r>
      <w:hyperlink r:id="rId6" w:tgtFrame="_blank" w:history="1">
        <w:r w:rsidR="00217664" w:rsidRPr="00BE7DB1">
          <w:rPr>
            <w:rFonts w:eastAsia="Times New Roman" w:cstheme="minorHAnsi"/>
            <w:sz w:val="20"/>
            <w:szCs w:val="20"/>
          </w:rPr>
          <w:t>William A Ghali, MD, MPH</w:t>
        </w:r>
      </w:hyperlink>
      <w:r w:rsidR="00217664" w:rsidRPr="00BE7DB1">
        <w:rPr>
          <w:rFonts w:eastAsia="Times New Roman" w:cstheme="minorHAnsi"/>
          <w:sz w:val="20"/>
          <w:szCs w:val="20"/>
        </w:rPr>
        <w:t xml:space="preserve">, </w:t>
      </w:r>
      <w:hyperlink r:id="rId7" w:tgtFrame="_blank" w:history="1">
        <w:r w:rsidR="00217664" w:rsidRPr="00BE7DB1">
          <w:rPr>
            <w:rFonts w:eastAsia="Times New Roman" w:cstheme="minorHAnsi"/>
            <w:sz w:val="20"/>
            <w:szCs w:val="20"/>
          </w:rPr>
          <w:t>Enrico Cagliero, MD</w:t>
        </w:r>
      </w:hyperlink>
      <w:r w:rsidR="00217664" w:rsidRPr="00BE7DB1">
        <w:rPr>
          <w:rFonts w:eastAsia="Times New Roman" w:cstheme="minorHAnsi"/>
          <w:sz w:val="20"/>
          <w:szCs w:val="20"/>
        </w:rPr>
        <w:t xml:space="preserve">. </w:t>
      </w:r>
      <w:r w:rsidR="00217664" w:rsidRPr="00BE7DB1">
        <w:rPr>
          <w:rFonts w:cstheme="minorHAnsi"/>
          <w:sz w:val="20"/>
          <w:szCs w:val="20"/>
          <w:shd w:val="clear" w:color="auto" w:fill="FFFFFF"/>
        </w:rPr>
        <w:t xml:space="preserve">Perioperative management of blood glucose in adults with diabetes mellitus. </w:t>
      </w:r>
      <w:r w:rsidR="00BE7DB1" w:rsidRPr="00BE7DB1">
        <w:rPr>
          <w:rFonts w:cstheme="minorHAnsi"/>
          <w:sz w:val="20"/>
          <w:szCs w:val="20"/>
          <w:shd w:val="clear" w:color="auto" w:fill="FFFFFF"/>
        </w:rPr>
        <w:t xml:space="preserve">UpToDate. </w:t>
      </w:r>
      <w:hyperlink r:id="rId8" w:anchor="H1" w:history="1">
        <w:r w:rsidR="00BE7DB1" w:rsidRPr="00BE7DB1">
          <w:rPr>
            <w:rStyle w:val="Hyperlink"/>
            <w:rFonts w:cstheme="minorHAnsi"/>
            <w:color w:val="auto"/>
            <w:sz w:val="20"/>
            <w:szCs w:val="20"/>
            <w:u w:val="none"/>
          </w:rPr>
          <w:t>Perioperative management of blood glucose in adults with diabetes mellitus - UpToDate</w:t>
        </w:r>
      </w:hyperlink>
      <w:r w:rsidR="00BE7DB1" w:rsidRPr="00BE7DB1">
        <w:rPr>
          <w:rFonts w:cstheme="minorHAnsi"/>
          <w:sz w:val="20"/>
          <w:szCs w:val="20"/>
        </w:rPr>
        <w:t>. Accessed July 6, 2022.</w:t>
      </w:r>
    </w:p>
    <w:p w14:paraId="76933D23" w14:textId="46411E00" w:rsidR="00BE7DB1" w:rsidRPr="00BE7DB1" w:rsidRDefault="009E69E2" w:rsidP="00E573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hyperlink r:id="rId9" w:tgtFrame="_blank" w:history="1">
        <w:r w:rsidR="00BE7DB1" w:rsidRPr="00BE7DB1">
          <w:rPr>
            <w:rFonts w:eastAsia="Times New Roman" w:cstheme="minorHAnsi"/>
            <w:sz w:val="20"/>
            <w:szCs w:val="20"/>
          </w:rPr>
          <w:t>Visala Muluk, MD</w:t>
        </w:r>
      </w:hyperlink>
      <w:r w:rsidR="00BE7DB1" w:rsidRPr="00BE7DB1">
        <w:rPr>
          <w:rFonts w:eastAsia="Times New Roman" w:cstheme="minorHAnsi"/>
          <w:sz w:val="20"/>
          <w:szCs w:val="20"/>
        </w:rPr>
        <w:t xml:space="preserve">, </w:t>
      </w:r>
      <w:hyperlink r:id="rId10" w:tgtFrame="_blank" w:history="1">
        <w:r w:rsidR="00BE7DB1" w:rsidRPr="00BE7DB1">
          <w:rPr>
            <w:rFonts w:eastAsia="Times New Roman" w:cstheme="minorHAnsi"/>
            <w:sz w:val="20"/>
            <w:szCs w:val="20"/>
          </w:rPr>
          <w:t>Steven L Cohn, MD, MACP, SFHM</w:t>
        </w:r>
      </w:hyperlink>
      <w:r w:rsidR="00BE7DB1" w:rsidRPr="00BE7DB1">
        <w:rPr>
          <w:rFonts w:eastAsia="Times New Roman" w:cstheme="minorHAnsi"/>
          <w:sz w:val="20"/>
          <w:szCs w:val="20"/>
        </w:rPr>
        <w:t xml:space="preserve">, </w:t>
      </w:r>
      <w:hyperlink r:id="rId11" w:tgtFrame="_blank" w:history="1">
        <w:r w:rsidR="00BE7DB1" w:rsidRPr="00BE7DB1">
          <w:rPr>
            <w:rFonts w:eastAsia="Times New Roman" w:cstheme="minorHAnsi"/>
            <w:sz w:val="20"/>
            <w:szCs w:val="20"/>
          </w:rPr>
          <w:t>Christopher Whinney, MD</w:t>
        </w:r>
      </w:hyperlink>
      <w:r w:rsidR="00BE7DB1" w:rsidRPr="00BE7DB1">
        <w:rPr>
          <w:rFonts w:eastAsia="Times New Roman" w:cstheme="minorHAnsi"/>
          <w:sz w:val="20"/>
          <w:szCs w:val="20"/>
        </w:rPr>
        <w:t xml:space="preserve">. </w:t>
      </w:r>
      <w:r w:rsidR="00BE7DB1" w:rsidRPr="00BE7DB1">
        <w:rPr>
          <w:rFonts w:cstheme="minorHAnsi"/>
          <w:sz w:val="20"/>
          <w:szCs w:val="20"/>
          <w:shd w:val="clear" w:color="auto" w:fill="FFFFFF"/>
        </w:rPr>
        <w:t xml:space="preserve">Perioperative medication management. UpToDate. </w:t>
      </w:r>
      <w:hyperlink r:id="rId12" w:anchor="H2487805884" w:history="1">
        <w:r w:rsidR="00BE7DB1" w:rsidRPr="00BE7DB1">
          <w:rPr>
            <w:rStyle w:val="Hyperlink"/>
            <w:rFonts w:cstheme="minorHAnsi"/>
            <w:color w:val="auto"/>
            <w:sz w:val="20"/>
            <w:szCs w:val="20"/>
            <w:u w:val="none"/>
          </w:rPr>
          <w:t>Perioperative medication management - UpToDate</w:t>
        </w:r>
      </w:hyperlink>
      <w:r w:rsidR="00BE7DB1" w:rsidRPr="00BE7DB1">
        <w:rPr>
          <w:rFonts w:cstheme="minorHAnsi"/>
          <w:sz w:val="20"/>
          <w:szCs w:val="20"/>
        </w:rPr>
        <w:t>. Accessed July 6, 2022.</w:t>
      </w:r>
    </w:p>
    <w:p w14:paraId="376A7482" w14:textId="7D8EEA3B" w:rsidR="00217664" w:rsidRPr="00810B9A" w:rsidRDefault="00810B9A" w:rsidP="00996F38">
      <w:pPr>
        <w:pStyle w:val="ListParagraph"/>
        <w:numPr>
          <w:ilvl w:val="0"/>
          <w:numId w:val="1"/>
        </w:numPr>
      </w:pPr>
      <w:r>
        <w:rPr>
          <w:rFonts w:ascii="Noto Sans" w:hAnsi="Noto Sans" w:cs="Noto Sans"/>
          <w:color w:val="232323"/>
          <w:sz w:val="19"/>
          <w:szCs w:val="19"/>
          <w:shd w:val="clear" w:color="auto" w:fill="FFFFFF"/>
        </w:rPr>
        <w:t>Stack CG, Rogers P, Linter SP.</w:t>
      </w:r>
      <w:r w:rsidRPr="00810B9A">
        <w:rPr>
          <w:rFonts w:ascii="Noto Sans" w:hAnsi="Noto Sans" w:cs="Noto Sans"/>
          <w:color w:val="232323"/>
          <w:sz w:val="19"/>
          <w:szCs w:val="19"/>
          <w:shd w:val="clear" w:color="auto" w:fill="FFFFFF"/>
        </w:rPr>
        <w:t xml:space="preserve"> </w:t>
      </w:r>
      <w:r>
        <w:rPr>
          <w:rFonts w:ascii="Noto Sans" w:hAnsi="Noto Sans" w:cs="Noto Sans"/>
          <w:color w:val="232323"/>
          <w:sz w:val="19"/>
          <w:szCs w:val="19"/>
          <w:shd w:val="clear" w:color="auto" w:fill="FFFFFF"/>
        </w:rPr>
        <w:t>Monoamine oxidase inhibitors and anaesthesia. A review.. Br J Anaesth. 1988;60(2):222.   </w:t>
      </w:r>
    </w:p>
    <w:p w14:paraId="6EBCCA33" w14:textId="1E0DBD17" w:rsidR="00810B9A" w:rsidRPr="00327060" w:rsidRDefault="00810B9A" w:rsidP="00996F38">
      <w:pPr>
        <w:pStyle w:val="ListParagraph"/>
        <w:numPr>
          <w:ilvl w:val="0"/>
          <w:numId w:val="1"/>
        </w:numPr>
      </w:pPr>
      <w:r>
        <w:rPr>
          <w:rFonts w:ascii="Noto Sans" w:hAnsi="Noto Sans" w:cs="Noto Sans"/>
          <w:color w:val="232323"/>
          <w:sz w:val="19"/>
          <w:szCs w:val="19"/>
          <w:shd w:val="clear" w:color="auto" w:fill="FFFFFF"/>
        </w:rPr>
        <w:t>Ang-Lee MK, Moss J, Yuan CS. Herbal medicines and perioperative care. JAMA. 2001;286(2):208</w:t>
      </w:r>
    </w:p>
    <w:p w14:paraId="02CBC182" w14:textId="6DDB9842" w:rsidR="00327060" w:rsidRDefault="009E69E2" w:rsidP="00327060">
      <w:pPr>
        <w:pStyle w:val="ListParagraph"/>
        <w:numPr>
          <w:ilvl w:val="0"/>
          <w:numId w:val="1"/>
        </w:numPr>
      </w:pPr>
      <w:hyperlink r:id="rId13" w:tgtFrame="_blank" w:history="1">
        <w:r w:rsidR="00327060" w:rsidRPr="00327060">
          <w:rPr>
            <w:rStyle w:val="Hyperlink"/>
            <w:rFonts w:ascii="Noto Sans" w:hAnsi="Noto Sans" w:cs="Noto Sans"/>
            <w:color w:val="auto"/>
            <w:sz w:val="20"/>
            <w:szCs w:val="20"/>
            <w:u w:val="none"/>
            <w:shd w:val="clear" w:color="auto" w:fill="FFFFFF"/>
          </w:rPr>
          <w:t>John S Axford, DSc, MD, FRCP, FRCPCH</w:t>
        </w:r>
      </w:hyperlink>
      <w:r w:rsidR="00327060" w:rsidRPr="00327060">
        <w:t xml:space="preserve"> </w:t>
      </w:r>
      <w:hyperlink r:id="rId14" w:anchor="H10" w:history="1">
        <w:r w:rsidR="00327060" w:rsidRPr="00327060">
          <w:rPr>
            <w:rStyle w:val="Hyperlink"/>
            <w:color w:val="auto"/>
            <w:u w:val="none"/>
          </w:rPr>
          <w:t>Preoperative evaluation and perioperative management of patients with rheumatic diseases - UpToDate</w:t>
        </w:r>
      </w:hyperlink>
      <w:r w:rsidR="00327060" w:rsidRPr="00327060">
        <w:t>. Accessed July 6</w:t>
      </w:r>
      <w:r w:rsidR="00327060" w:rsidRPr="00327060">
        <w:rPr>
          <w:vertAlign w:val="superscript"/>
        </w:rPr>
        <w:t>th</w:t>
      </w:r>
      <w:r w:rsidR="00327060" w:rsidRPr="00327060">
        <w:t xml:space="preserve">, 2022. </w:t>
      </w:r>
    </w:p>
    <w:p w14:paraId="1C6D1F54" w14:textId="602C7B15" w:rsidR="00B4230E" w:rsidRPr="00327060" w:rsidRDefault="009E69E2" w:rsidP="00CA4E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hyperlink r:id="rId15" w:tgtFrame="_blank" w:history="1">
        <w:r w:rsidR="00B4230E" w:rsidRPr="00B4230E">
          <w:rPr>
            <w:rFonts w:ascii="Noto Sans" w:eastAsia="Times New Roman" w:hAnsi="Noto Sans" w:cs="Noto Sans"/>
            <w:color w:val="005B92"/>
            <w:sz w:val="20"/>
            <w:szCs w:val="20"/>
            <w:u w:val="single"/>
          </w:rPr>
          <w:t>James D Douketis, MD, FRCPC, FACP, FCCP</w:t>
        </w:r>
      </w:hyperlink>
      <w:r w:rsidR="00B4230E" w:rsidRPr="00B4230E">
        <w:rPr>
          <w:rFonts w:ascii="Noto Sans" w:eastAsia="Times New Roman" w:hAnsi="Noto Sans" w:cs="Noto Sans"/>
          <w:color w:val="232323"/>
          <w:sz w:val="20"/>
          <w:szCs w:val="20"/>
        </w:rPr>
        <w:t xml:space="preserve">, </w:t>
      </w:r>
      <w:hyperlink r:id="rId16" w:tgtFrame="_blank" w:history="1">
        <w:r w:rsidR="00B4230E" w:rsidRPr="00B4230E">
          <w:rPr>
            <w:rFonts w:ascii="Noto Sans" w:eastAsia="Times New Roman" w:hAnsi="Noto Sans" w:cs="Noto Sans"/>
            <w:color w:val="005B92"/>
            <w:sz w:val="20"/>
            <w:szCs w:val="20"/>
            <w:u w:val="single"/>
          </w:rPr>
          <w:t>Gregory YH Lip, MD, FRCPE, FESC, FACC</w:t>
        </w:r>
      </w:hyperlink>
      <w:r w:rsidR="00B4230E" w:rsidRPr="00B4230E">
        <w:rPr>
          <w:rFonts w:ascii="Noto Sans" w:eastAsia="Times New Roman" w:hAnsi="Noto Sans" w:cs="Noto Sans"/>
          <w:color w:val="232323"/>
          <w:sz w:val="20"/>
          <w:szCs w:val="20"/>
        </w:rPr>
        <w:t xml:space="preserve">. </w:t>
      </w:r>
      <w:hyperlink r:id="rId17" w:anchor="H2" w:history="1">
        <w:r w:rsidR="00B4230E">
          <w:rPr>
            <w:rStyle w:val="Hyperlink"/>
          </w:rPr>
          <w:t>Perioperative management of patients receiving anticoagulants - UpToDate</w:t>
        </w:r>
      </w:hyperlink>
      <w:r w:rsidR="00B4230E">
        <w:t>. Accessed July 6, 2022.</w:t>
      </w:r>
    </w:p>
    <w:p w14:paraId="1A718B7D" w14:textId="77777777" w:rsidR="009034DE" w:rsidRPr="009034DE" w:rsidRDefault="009034DE" w:rsidP="009034DE"/>
    <w:sectPr w:rsidR="009034DE" w:rsidRPr="009034DE" w:rsidSect="009034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B4986"/>
    <w:multiLevelType w:val="hybridMultilevel"/>
    <w:tmpl w:val="518CD40C"/>
    <w:lvl w:ilvl="0" w:tplc="317CEB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2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DE"/>
    <w:rsid w:val="000074A1"/>
    <w:rsid w:val="00217664"/>
    <w:rsid w:val="00327060"/>
    <w:rsid w:val="004A48D0"/>
    <w:rsid w:val="00725F05"/>
    <w:rsid w:val="00810B9A"/>
    <w:rsid w:val="009034DE"/>
    <w:rsid w:val="00996F38"/>
    <w:rsid w:val="009E69E2"/>
    <w:rsid w:val="00B4230E"/>
    <w:rsid w:val="00BE7DB1"/>
    <w:rsid w:val="00DF521E"/>
    <w:rsid w:val="00F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B4F2"/>
  <w15:chartTrackingRefBased/>
  <w15:docId w15:val="{0E3B81AF-9383-49F7-AF7D-FDBEEDB9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0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F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7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date.com/contents/perioperative-management-of-blood-glucose-in-adults-with-diabetes-mellitus?topicRef=4814&amp;source=see_link" TargetMode="External"/><Relationship Id="rId13" Type="http://schemas.openxmlformats.org/officeDocument/2006/relationships/hyperlink" Target="https://www.uptodate.com/contents/preoperative-evaluation-and-perioperative-management-of-patients-with-rheumatic-diseases/contributo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todate.com/contents/perioperative-management-of-blood-glucose-in-adults-with-diabetes-mellitus/contributors" TargetMode="External"/><Relationship Id="rId12" Type="http://schemas.openxmlformats.org/officeDocument/2006/relationships/hyperlink" Target="https://www.uptodate.com/contents/perioperative-medication-management?sectionName=ACE%20inhibitors%20and%20angiotensin%20II%20receptor%20blockers&amp;topicRef=105407&amp;anchor=H7&amp;source=see_link" TargetMode="External"/><Relationship Id="rId17" Type="http://schemas.openxmlformats.org/officeDocument/2006/relationships/hyperlink" Target="https://www.uptodate.com/contents/perioperative-management-of-patients-receiving-anticoagulants?topicRef=4814&amp;source=see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todate.com/contents/perioperative-management-of-patients-receiving-anticoagulants/contributo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ptodate.com/contents/perioperative-management-of-blood-glucose-in-adults-with-diabetes-mellitus/contributors" TargetMode="External"/><Relationship Id="rId11" Type="http://schemas.openxmlformats.org/officeDocument/2006/relationships/hyperlink" Target="https://www.uptodate.com/contents/perioperative-medication-management/contributors" TargetMode="External"/><Relationship Id="rId5" Type="http://schemas.openxmlformats.org/officeDocument/2006/relationships/hyperlink" Target="https://www.uptodate.com/contents/perioperative-management-of-blood-glucose-in-adults-with-diabetes-mellitus/contributors" TargetMode="External"/><Relationship Id="rId15" Type="http://schemas.openxmlformats.org/officeDocument/2006/relationships/hyperlink" Target="https://www.uptodate.com/contents/perioperative-management-of-patients-receiving-anticoagulants/contributors" TargetMode="External"/><Relationship Id="rId10" Type="http://schemas.openxmlformats.org/officeDocument/2006/relationships/hyperlink" Target="https://www.uptodate.com/contents/perioperative-medication-management/contributo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ptodate.com/contents/perioperative-medication-management/contributors" TargetMode="External"/><Relationship Id="rId14" Type="http://schemas.openxmlformats.org/officeDocument/2006/relationships/hyperlink" Target="https://www.uptodate.com/contents/preoperative-evaluation-and-perioperative-management-of-patients-with-rheumatic-diseases?topicRef=4814&amp;source=se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1507</Words>
  <Characters>8593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Katherine</dc:creator>
  <cp:keywords/>
  <dc:description/>
  <cp:lastModifiedBy>Jim Lewis</cp:lastModifiedBy>
  <cp:revision>2</cp:revision>
  <dcterms:created xsi:type="dcterms:W3CDTF">2022-07-11T19:50:00Z</dcterms:created>
  <dcterms:modified xsi:type="dcterms:W3CDTF">2022-07-11T19:50:00Z</dcterms:modified>
</cp:coreProperties>
</file>